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HWS PA Expense Reimbursement Policy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purpose of this process is to ensure that Parent Association funds are used responsibly, transparently, and in alignment with PA-supported activities, events, and initiatives. It also helps maintain clear records for financial tracking and reporting.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1. Before Purchasing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 purchases should support an approved activity, event or initiative.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Before purchasing supplies, volunteers are encouraged to check the PA storage area to determine whether the required items are already available.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Prior approval is required for any single purchase exceeding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$500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When prior approval is required, please provide: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item or service being purchased;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estimated total cost (including taxes, shipping, or other applicable fees);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purpose of the purchase and the event or initiative it supports; and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date the item or service is needed.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request should be submitted to the PA Chair, who will coordinate review with the PA Treasurer and other executive team members if required before approval is provided.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Expenses requiring prior approval that are incurred without approval may not be eligible for reimbursement.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2. Reimbursements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To receive reimbursement, please submit: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copy or photo of the receipt;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brief description of the purchase;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related event or PA initiative; and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documentation of any required approval, where applicable.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Receipts should be submitted to the PA Treasurer in a timely manner.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3. Responsible Spending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 funds belong to the school community and should be used thoughtfully to support the mission, values, and needs of the community.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Volunteers are encouraged to communicate openly about planned purchases and to ask questions whenever there is uncertainty about an expense.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UNdfb6drPKP3Hl/xdvvcEId4Ew==">CgMxLjA4AHIhMWhCUnFmM180enVra08ta1RrYktPTUtLZXRWWndTcXFN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